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rFonts w:ascii="仿宋_GB2312" w:hAnsi="楷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b/>
          <w:bCs/>
          <w:color w:val="000000"/>
          <w:sz w:val="32"/>
          <w:szCs w:val="32"/>
        </w:rPr>
        <w:t>申报课程条件</w:t>
      </w:r>
    </w:p>
    <w:p>
      <w:pPr>
        <w:ind w:firstLine="560" w:firstLineChars="200"/>
        <w:rPr>
          <w:rFonts w:hint="eastAsia" w:ascii="仿宋_GB2312" w:hAnsi="楷体" w:eastAsia="仿宋_GB2312" w:cs="宋体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申</w:t>
      </w:r>
      <w:bookmarkStart w:id="0" w:name="_GoBack"/>
      <w:bookmarkEnd w:id="0"/>
      <w:r>
        <w:rPr>
          <w:rFonts w:hint="eastAsia" w:ascii="仿宋_GB2312" w:hAnsi="楷体" w:eastAsia="仿宋_GB2312"/>
          <w:sz w:val="28"/>
          <w:szCs w:val="28"/>
        </w:rPr>
        <w:t>报课程须为我校全日制本科人才培养方案中开设的课程。线下一流课程、线上线下混合式一流课程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和社会实践一流课程</w:t>
      </w:r>
      <w:r>
        <w:rPr>
          <w:rFonts w:hint="eastAsia" w:ascii="仿宋_GB2312" w:hAnsi="楷体" w:eastAsia="仿宋_GB2312"/>
          <w:sz w:val="28"/>
          <w:szCs w:val="28"/>
        </w:rPr>
        <w:t>需要至少经过两个学期的教学实践</w:t>
      </w:r>
      <w:r>
        <w:rPr>
          <w:rFonts w:hint="eastAsia" w:ascii="仿宋_GB2312" w:hAnsi="楷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楷体" w:eastAsia="仿宋_GB2312" w:cs="宋体"/>
          <w:sz w:val="28"/>
          <w:szCs w:val="28"/>
        </w:rPr>
        <w:t>取得实质性改革成效，在同类课程中具有鲜明特色、良好的教学效果，并承诺入选后将持续改进。</w:t>
      </w:r>
      <w:r>
        <w:rPr>
          <w:rFonts w:hint="eastAsia" w:ascii="仿宋_GB2312" w:hAnsi="楷体" w:eastAsia="仿宋_GB2312" w:cs="宋体"/>
          <w:sz w:val="28"/>
          <w:szCs w:val="28"/>
          <w:lang w:val="en-US" w:eastAsia="zh-CN"/>
        </w:rPr>
        <w:t>申报课程</w:t>
      </w:r>
      <w:r>
        <w:rPr>
          <w:rFonts w:hint="eastAsia" w:ascii="仿宋_GB2312" w:hAnsi="楷体" w:eastAsia="仿宋_GB2312" w:cs="宋体"/>
          <w:sz w:val="28"/>
          <w:szCs w:val="28"/>
        </w:rPr>
        <w:t>符合相关类型课程基本形态和特殊要求的同时，在以下多个方面具备实质性创新，有较大的借鉴和推广价值。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&amp;quot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1.教学理念先进。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坚持立德树人，体现以学生发展为中心，致力于开启学生内在潜力和学习动力，注重学生德智体美劳全面发展。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&amp;quot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2.课程教学团队教学成果显著。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课程团队教学改革意识强烈、理念先进，人员结构及任务分工合理。主讲教师具备良好的师德师风，具有丰富的教学经验、较高学术造诣，积极投身教学改革，教学能力强，能够运用新技术提高教学效率、提升教学质量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&amp;quot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3.课程目标有效支撑培养目标达成。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课程目标符合学校办学定位和人才培养目标，注重知识、能力、素质培养。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&amp;quot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4.课程教学设计科学合理。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围绕目标达成、教学内容、组织实施和多元评价需求进行整体规划，教学策略、教学方法、教学过程、教学评价等设计合理。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&amp;quot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5.课程内容与时俱进。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课程内容结构符合学生成长规律，依据学科前沿动态与社会发展需求动态更新知识体系，契合课程目标，教材选用符合教育部和学校教材选用规定，教学资源丰富多样，体现思想性、科学性与时代性。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&amp;quot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6.教学组织与实施突出学生中心地位。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根据学生认知规律和接受特点，创新教与学模式，因材施教，促进师生之间、学生之间的交流互动、资源共享、知识生成，教学反馈及时，教学效果显著。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&amp;quot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7.课程管理与评价科学且可测量。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教师备课要求明确，学生学习管理严格。针对教学目标、教学内容、教学组织等采用多元化考核评价，过程可回溯，诊断改进积极有效。教学过程材料完整，可借鉴可监督。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AC"/>
    <w:rsid w:val="00056AAC"/>
    <w:rsid w:val="00A20AAF"/>
    <w:rsid w:val="08C628E8"/>
    <w:rsid w:val="435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595</Characters>
  <Lines>4</Lines>
  <Paragraphs>1</Paragraphs>
  <TotalTime>3</TotalTime>
  <ScaleCrop>false</ScaleCrop>
  <LinksUpToDate>false</LinksUpToDate>
  <CharactersWithSpaces>698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2020-04-27T16:48:00Z</dcterms:created>
  <dc:creator>WYQ</dc:creator>
  <cp:lastModifiedBy>饭小团</cp:lastModifiedBy>
  <dcterms:modified xsi:type="dcterms:W3CDTF">2020-04-29T12:01:35Z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